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47 vom 31. März 2025</w:t>
      </w:r>
    </w:p>
    <w:p>
      <w:r>
        <w:t>VS Kantonsgericht, 2025-03-31, FR</w:t>
      </w:r>
    </w:p>
    <w:p>
      <w:r>
        <w:rPr>
          <w:b/>
        </w:rPr>
        <w:t xml:space="preserve">Quelle: </w:t>
      </w:r>
      <w:r>
        <w:t>https://mcp.opencaselaw.ch/entscheid/vs_gerichte_S2 22 47</w:t>
      </w:r>
    </w:p>
    <w:p>
      <w:r>
        <w:t>FR: VS_GERICHTE S2 22 47 du 31 mars 2025</w:t>
      </w:r>
    </w:p>
    <w:p>
      <w:r>
        <w:t>IT: VS_GERICHTE S2 22 47 del 31 marzo 2025</w:t>
      </w:r>
    </w:p>
    <w:p>
      <w:pPr>
        <w:pStyle w:val="Heading2"/>
      </w:pPr>
      <w:r>
        <w:t>Regeste</w:t>
      </w:r>
    </w:p>
    <w:p>
      <w:r>
        <w:t>S2 22 47 ARRET DU 31 MARS 2025 Tribunal cantonal du Valais Cour des assurances sociales Composition : Candido Prada, président ; Frédéric Fellay et Christophe Joris, juges ; Anaïs Mottiez, greffière en la cause X _________, recourant, représenté par Syndicats Chrétiens du Valais, Sion contre CAISSE NATIONALE SUISSE D'ASSURANCE EN CAS D'ACCIDENTS (CNA), intimée, représentée par Maître Didier Elsig, avocat, Lausanne (art. 18, 24 LAA et 16 LPGA ; capacité de travail dans une activité adaptée, rente d’invalidité, indemnité pour atteinte à l’intégrité)</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10 juin 2022, le présent recours à l’encontre de la décision sur opposition du 10 mai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principalement sur le taux d’invalidité du recourant ainsi que sur le taux de l’IPAI qui lui a été accordée. Dans un premier grief, ce dernier remet en cause sa capacité de travail résiduelle dans une activité adaptée.</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w:t>
      </w:r>
    </w:p>
    <w:p>
      <w:r>
        <w:t>- 7 - 115 V 133 consid. 2, 114 V 310 consid. 3c et 105 V 156 consid. 1 ; arrêt du Tribunal fédéral 8C_761/2014 du 15 octobre 2015 consid. 3.4).</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141 I 60 consid. 3.3, 130 II 425 consid. 2.1 et 125 I 127 consid. 6c/cc). Il ne se justifie pas d'écarter un rapport médical au seul motif qu'il est établi par le médecin interne d'un assureur social, respectivement par le médecin traitant (ou l'expert</w:t>
      </w:r>
    </w:p>
    <w:p>
      <w:r>
        <w:t>- 8 -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142 V 58 consid. 5.1,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citées).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w:t>
      </w:r>
    </w:p>
    <w:p>
      <w:r>
        <w:t>- 9 -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et 8C_46/2019 du 10 mai 2019 consid. 3.2.1 ; arrêt du Tribunal fédéral des assurances U 492/00 du 31 juillet 2001, in RAMA 2001 n° U 438 p. 345).</w:t>
      </w:r>
    </w:p>
    <w:p>
      <w:r>
        <w:rPr>
          <w:b/>
        </w:rPr>
        <w:t>E. 2.4</w:t>
      </w:r>
    </w:p>
    <w:p>
      <w:r>
        <w:t>En l’espèce, le recourant conteste la capacité de travail totale qui lui a été reconnue dans une activité adaptée par la CNA, estimant ne pas être en mesure d’exercer une activité lucrative dans différents secteurs de l’économie. On relèvera sur ce point qu’il revient à un médecin de se prononcer, en se fondant sur des constatations médicales objectives, dans quelle mesure et pour quelles activités la personne assurée est incapable de travailler (MOSER-SZELESS, Commentaire romand de la loi sur la partie générale des assurances sociales, 1ère éd., 2018, n. 24 ad art. 6 LPGA). Or, dans un rapport d’examen du 20 août 2021, le Dr L _________, médecin d’arrondissement, a retenu qu’il n’y avait plus de réelle amélioration de l’état de santé de l’intéressé depuis une année et a estimé que, dans une activité adaptée (limitation des mouvements avec une prise grossière en force, des travaux de manœuvre ainsi que du maniement d’outils lourds, port de charges près du corps limité à 10 kg et à 1-2 kg en élévation, ce de manière non répétitive, et pas de travaux sur des échelles ou sur des toits), la capacité de travail du recourant était entière et sans diminution de rendement pour les suites des événements des 22 février 2019 et 27 mars 1985 (pièce CNA 176). Cela étant, la Cour estime que la valeur probante intrinsèque de ce rapport d’examen est entière. Elle relève que le Dr L _________ est un spécialiste FMH en chirurgie orthopédique et traumatologie de l’appareil locomoteur, qu’il a procédé à un examen clinique complet du patient le 20 août 2021, qu’il a établi son avis de manière circonstanciée, en connaissance de l’anamnèse et en tenant compte des plaintes de l’assuré, qu’il s’est aussi fondé sur les pièces médicales au dossier, qu’il a exposé le contexte médical de façon cohérente, qu’il a apprécié la situation médicale de manière claire et sans contradictions et qu’il a dûment motivé ses conclusions. S’agissant de l’avis du Dr D _________, médecin traitant de l’intéressé, la Cour relève qu’il n’est pas de nature à faire naître un doute quant à la pertinence et la fiabilité du rapport du Dr L _________. En particulier, ce médecin se contente d’indiquer sommairement (cf not. rapport du 22 juin 2021) que son patient ne peut travailler qu’à 25%, sans préciser si ce taux concerne uniquement l’activité habituelle de ferblantier ou également une activité adaptée, respectivement sans indiquer quelles sont les limitations</w:t>
      </w:r>
    </w:p>
    <w:p>
      <w:r>
        <w:t>- 10 - présentées par celui-ci et quelle activité pourrait être exigible de sa part. Un tel avis ne saurait ainsi présenter une valeur probante suffisante, ce d’autant plus compte tenu de la jurisprudence relative à l’appréciation des rapports émis par les médecins traitants (cf. supra consid. 2.3). Quant aux autres avis médicaux au dossier, soit ceux du Dr G _________ et des Dresses J _________ et K _________, ils ne sont d’aucun secours au recourant, dès lors que ces médecins n’abordent pas la question de sa capacité de travail, le Dr G _________ posant tout au plus des limitations fonctionnelles provisoires qui s’avèrent compatibles avec celles retenues par le Dr L _________ (cf. pièce 89). En définitive, les constatations du Dr L _________ ne sont contredites par aucune pièce médicale au dossier, de sorte qu’il n’existe pas de motifs de mettre en doute la fiabilité des conclusions du médecin d’arrondissement de la CNA. Il y a ainsi lieu de retenir que le recourant disposait d’une pleine capacité de travail dans une activité adaptée.</w:t>
      </w:r>
    </w:p>
    <w:p>
      <w:r>
        <w:rPr>
          <w:b/>
        </w:rPr>
        <w:t>E. 3.1</w:t>
      </w:r>
    </w:p>
    <w:p>
      <w:r>
        <w:t>Dans un deuxième grief, le recourant conteste le calcul de son taux d’invalidité, notamment l’absence de prise en compte de son âge avancé comme critère d’abattement du salaire statistique.</w:t>
      </w:r>
    </w:p>
    <w:p>
      <w:r>
        <w:rPr>
          <w:b/>
        </w:rPr>
        <w:t>E. 3.2</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t>- 11 -</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3.3.1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w:t>
      </w:r>
    </w:p>
    <w:p>
      <w:r>
        <w:rPr>
          <w:b/>
        </w:rPr>
        <w:t>E. 3.3.2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et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w:t>
      </w:r>
    </w:p>
    <w:p>
      <w:r>
        <w:t>- 12 -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3.4</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148 V 174 consid. 6.3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r>
        <w:rPr>
          <w:b/>
        </w:rPr>
        <w:t>E. 3.5</w:t>
      </w:r>
    </w:p>
    <w:p>
      <w:r>
        <w:t>Sur la base de la délégation législative de l'article 18 alinéa 2 LAA, le Conseil fédéral a édicté l'article 28 OLAA, qui contient des prescriptions particulières pour l'évaluation de l'invalidité dans des cas spéciaux. L'article 28 alinéa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s'applique si l'assuré, en raison de son âge, ne reprend plus d'activité lucrative après l'accident (variante I) ou lorsque l'atteinte à la capacité de gain a principalement pour origine l'âge avancé de l'assuré (variante II). Selon la jurisprudence, l’âge moyen au sens de cette disposition se situe aux alentours de « 42 ans » ou « entre 40 et 45 ans » et l’âge avancé dans la fourchette « environ 60 ans », le moment déterminant pour ce dernier étant celui du début de la rente (ATF 122 V 418 consid. 1b,</w:t>
      </w:r>
    </w:p>
    <w:p>
      <w:r>
        <w:t>- 13 - 122 V 426 avec références ; arrêt du Tribunal fédéral 8C_215/2023 du 1er février 2024 consid. 4.2.2). La seconde variante de cette disposition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 arrêts du Tribunal fédéral 8C_799/2019 du 17 mars 2020 consid. 3.3.2, 8C_307/2017 du 26 septembre 2017 consid. 4.2.2, 8C_346/2013 du 10 septembre 2013 consid. 4.2 et 8C_806/2012 du 12 février 2013 consid. 5.2.2).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arrêt du Tribunal fédéral 8C_307/2017 du 26 septembre 2017 consid. 4.1). Il s'agit d'empêcher l'octroi de rentes d'invalidité qui comporteraient, en fait, une composante de prestation de vieillesse (OMLIN, Die Invalidität in der obligatorischen Unfallversicherung, 1995, p. 249). Selon la jurisprudence, il faut prendre en considération l'application de l'article 28 alinéa</w:t>
      </w:r>
    </w:p>
    <w:p>
      <w:r>
        <w:rPr>
          <w:b/>
        </w:rPr>
        <w:t>E. 3.6</w:t>
      </w:r>
    </w:p>
    <w:p>
      <w:r>
        <w:t>Selon la jurisprudence du Tribunal fédéral, l’assureur-accidents est fondé à procéder à sa propre évaluation de l’invalidité, indépendamment de la décision de l’office de l’assurance-invalidité (ATF 131 V 362 consid. 2.3 ; arrêts du Tribunal fédéral 8C_195/2013 du 15 octobre 2013 consid. 4.1 et 9C_813/2012 du 18 mars 2013 consid. 3.4). L’uniformité de la notion d’invalidité n’a pas pour conséquence de libérer chacune de ces assurances de l’obligation de procéder dans chaque cas et de manière indépendante à l’évaluation de l’invalidité (ATF 131 V 362 consid. 2.2.1, 126 V 288 consid. 2a et 2d, 119 V 471 consid. 4a ; Pratique VSI 2004 p. 185 consid. 3 ; arrêt du Tribunal fédéral des assurances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arrêt I du Tribunal fédéral des assurances 766/04 du 7 juin 2005 consid. 4). Il faut en outre tenir compte du fait que l’assureur- accidents ne répond que des conséquences des atteintes à la santé qui sont en relation de causalité naturelle et adéquate avec l’accident assuré. C’est pourquoi l’évaluation de l’invalidité par les organes de l’assurance-accidents n’a pas de force contraignante absolue pour l’assurance-invalidité, et inversement (ATF 133 V 549 consid. 6 et 131 V 362 consid. 2).</w:t>
      </w:r>
    </w:p>
    <w:p>
      <w:r>
        <w:rPr>
          <w:b/>
        </w:rPr>
        <w:t>E. 3.7</w:t>
      </w:r>
    </w:p>
    <w:p>
      <w:r>
        <w:t>En l’occurrence, l’intimée a fixé le revenu hypothétique à 70'643 fr., sur la base de la branche 43 de l’ESS (travaux de construction spécialisés) et celui avec invalidité à 65'543 fr., en se fondant sur l’ESS, tous secteurs confondus, pour un homme avec un niveau de compétences 1. Elle a en outre admis un abattement de 5% sur ce salaire d’invalide, en raison des limitations fonctionnelles du recourant (cf. pièces CNA 195- 196).</w:t>
      </w:r>
    </w:p>
    <w:p>
      <w:r>
        <w:t>- 15 - L’intéressé ne conteste – à juste titre – pas le calcul du revenu sans invalidité, mais critique en revanche d’une part le montant de 65'543 fr. (revenu avec invalidité), motif pris qu’il se fonde sur une branche économique « totale » et non sur une branche précise, et d’autre part l’abattement de 5% retenu sur le revenu d’invalide. Il soutient que son âge (62 ans et 5 mois au moment du prononcé de la décision), son absence de formation et le fait d’avoir travaillé durant des années pour le même employeur sont des critères qui auraient dû être pris en compte par l’intimée. Il a en outre rappelé que l’OAI avait renoncer à exiger de sa part la mise en valeur d’une capacité de travail à 100% et lui avait octroyé une rente entière d’invalidité. En premier lieu, la Cour ne peut pas suivre le recourant lorsque celui-ci soutient que le montant de 65'543 fr., retenu comme revenu sans invalidité, devrait se fonder sur une branche précise et non sur une branche économique « total ». En effet, comme cela a été rappelé ci-dessus (cf. supra consid. 3.3.2), en l'absence d'un revenu effectivement réalisé, le revenu d'invalide peut être évalué sur la base de salaires fondés sur les données statistiques résultant de l'Enquête suisse sur la structure des salaires (ESS). De plus, pour une personne ne disposant d’aucune formation professionnelle dans une activité adaptée, il convient en règle générale de se fonder sur les salaires bruts standardisés (valeur centrale) dans l’économie privée (tableau TA1_skill_level), tous secteurs confondus. Dès lors que le recourant n’est au bénéfice d’aucune formation certifiée – ce qu’il admet – et qu’il n’a pas repris d’activité lucrative suite à son accident – excepté la tentative à 25% auprès de l’entreprise H _________ Sàrl, laquelle n’a toutefois pas abouti à la reprise d’une activité lucrative –, c’est ainsi à juste titre que la CNA s’est fondée sur l’ESS, tous secteurs confondus, pour un homme avec un niveau de compétences 1 afin de déterminer le revenu avec invalidité. Ensuite, l’absence de formation ou la longue expérience auprès d’un seul employeur ne sauraient jouer un rôle significatif sur les perspectives salariales du recourant, dès lors que les activités adaptées envisagées (simples et répétitives de niveau de compétence 1) ne requièrent ni formation, ni expérience professionnelle spécifique (arrêt du Tribunal fédéral 8C_223/2007 du 20 novembre 2007 consid.6.2.2 et les références ; IONTA, Fixation du revenu d’invalide selon l’ESS, in : Jusletter 22 octobre 2018, Rz 213). En outre, tout nouveau travail va de pair avec une période d'apprentissage, si bien qu'il n'y a pas lieu d'effectuer un abattement à ce titre (voir par exemple l'arrêt du Tribunal fédéral 9C_200/2017 du 14 novembre 2017 consid. 4.5). S’agissant enfin de l’âge du recourant, celui-ci était âgé de 61 ans et 9 mois au moment de la naissance du droit à la rente, soit au 1er octobre 2021 (ATF 148 V 419 consid. 7.3 ;</w:t>
      </w:r>
    </w:p>
    <w:p>
      <w:r>
        <w:t>- 16 - 122 V 418 consid. 1b ; arrêt du Tribunal fédéral 8C_321/2022 du 10 mars 2023 consid. 5.1). Au vu de la jurisprudence topique rappelée ci-dessus (cf. supra consid. 3.5), il apparaît que l'atteinte à la capacité de gain a principalement pour origine l'âge avancé de l'assuré (variante II de l’art. 28 al. 4 OLAA). En effet, s’il est vrai que l’intéressé a tenté de reprendre une activité à 25% auprès de l’entreprise H _________ Sàrl au mois d’octobre 2020, il ressort du dossier que cette activité était uniquement à l’essai et rien n’indique qu’elle ait été poursuivie dans le temps, qu’elle ait abouti à la conclusion d’un contrat de travail ou encore qu’il s’agissait d’une activité adaptée. Par ailleurs, le recourant n’était alors âgé « que » de 60 ans et avait encore cinq ans devant lui avant l’ouverture de son droit à une rente de l’AVS, ce qui n’était plus le cas au moment de la naissance du droit à la rente d’invalidité. L’âge avancé doit ainsi être considéré comme la cause essentielle de l’incapacité de gain du recourant, de sorte que la CNA pouvait ne pas en tenir compte dans la fixation du revenu d’invalide de ce dernier et se baser sur ce qu’un assuré d’âge moyen présentant les mêmes séquelles accidentelles pouvait réaliser (arrêt du Tribunal fédéral 8C_166/2016 du 27 janvier 2017 consid. 3.2.2). Il s’ensuit qu’aucun abattement ne se justifie pour ce motif (ATF 148 V 419 précité consid. 8.5). Eu égard à ce qui précède, un abattement de 5%, tel que retenu par l’intimée, n’apparaît pas critiquable et peut être confirmé (cf. par ex. arrêts du Tribunal fédéral 8C_39/2022 du 13 octobre 2022 consid. 6.4 et 8C_659/2021 du 17 février 2022 consid. 4.3.1). Par ailleurs, le fait que l’OAI ait quant à lui renoncé à exiger de la part du recourant la mise en valeur d’une capacité de travail à 100% au regard du nombre d’années restantes avant l’ouverture de son droit à une rente de vieillesse ne suffit pas à remettre en cause la position de la CNA, qui jouit sur ce point d’une certaine marge d’appréciation que la juridiction de céans doit respecter (ATF 146 V 16 consid. 4.2 et 137 V 71 consid. 5.1 et 5.2). Cela vaut d’autant plus que l’article 28 alinéa 4 OLAA est propre à l’assurance- accidents, ce qui constitue un motif suffisant de s’écarter des conclusions de l’assurance-invalidité.</w:t>
      </w:r>
    </w:p>
    <w:p>
      <w:r>
        <w:rPr>
          <w:b/>
        </w:rPr>
        <w:t>E. 4</w:t>
      </w:r>
    </w:p>
    <w:p>
      <w:r>
        <w:t>OLAA si l'assuré a environ 60 ans. Toutefois, cela ne signifie pas que cette disposition soit applicable dans tous les cas où l'assuré a atteint cet âge avancé. Elle s'applique seulement lorsqu'il y a des indices concrets que l'âge de l'assuré revêt une importance prépondérante par rapport aux autres facteurs à l'origine de l'incapacité de gain (ATF 122 V 418 consid. 4c ; arrêts du Tribunal fédéral 8C_507/2022 du 28 novembre 2022 consid. 5.1.3, 8C_307/2017 du 26 septembre 2017 consid. 4.2.2, 8C_205/2016 du 20 juin 2016 consid. 3.4 et 8C_517/2016 du 8 mai 2017 consid. 5.3). Pour atteindre son objectif, l'article 28 alinéa 4 OLAA commande qu'on calcule le taux d'invalidité sur la base des revenus (sans et avec invalidité) hypothétiques que pourrait obtenir un assuré d'âge moyen, et que - contrairement à l'article 16 LPGA - on fasse ainsi abstraction de l'incapacité de travail due à l'âge avancé de l'assuré (ATF 114 V 310 consid. 3b ; arrêt du Tribunal fédéral U 60/87 du 12 avril 1988 consid. 2). Or, dès lors</w:t>
      </w:r>
    </w:p>
    <w:p>
      <w:r>
        <w:t>- 14 -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l'article 28 alinéa 4 OLAA (ATF 148 V 419 consid. 8.5 ; arrêts du Tribunal fédéral 8C_215/2023 du 1er février 2024 consid. 4.2.2 et 8C_125/2024 du 3 février 2025 consid. 5.3.2).</w:t>
      </w:r>
    </w:p>
    <w:p>
      <w:r>
        <w:rPr>
          <w:b/>
        </w:rPr>
        <w:t>E. 4.1</w:t>
      </w:r>
    </w:p>
    <w:p>
      <w:r>
        <w:t>Dans un dernier grief, le recourant s’en prend au taux de l’IPAI.</w:t>
      </w:r>
    </w:p>
    <w:p>
      <w:r>
        <w:rPr>
          <w:b/>
        </w:rPr>
        <w:t>E. 4.2</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w:t>
      </w:r>
    </w:p>
    <w:p>
      <w:r>
        <w:t>- 17 -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du Tribunal fédéral 8C_812/2010 du 2 mai 2011 consid. 6). Dans ce cas, il convient de d'abord additionner les pourcentages correspondant à chacune des atteintes, avant d'examiner de manière globale si le résultat obtenu est juste et proportionnel, en comparaison avec d'autres atteintes figurant dans l'annexe 3 à l'OLAA (arrêt du Tribunal fédéral 8C_346/2017 du 15 mars 2018 consid. 4.4 ; RAMA 1998 n° U 296 p. 235, U 245/96 consid. 2a).</w:t>
      </w:r>
    </w:p>
    <w:p>
      <w:r>
        <w:rPr>
          <w:b/>
        </w:rPr>
        <w:t>E. 4.3</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du Tribunal fédéral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w:t>
      </w:r>
    </w:p>
    <w:p>
      <w:r>
        <w:t>- 18 - même (ATF 115 V 147 consid. 1 et 113 V 218 consid. 4b ; arrêts du Tribunal fédéral 8C_703/2008 du 25 septembre 2009 consid. 5, U 134/03 du 12 janvier 2004 consid. 5.2 [in : RAMA 2004 n. U 514 p. 415] et U 360/98 consid. 1 [in : RAMA 2000 n. U 362 p. 41]).</w:t>
      </w:r>
    </w:p>
    <w:p>
      <w:r>
        <w:rPr>
          <w:b/>
        </w:rPr>
        <w:t>E. 4.4</w:t>
      </w:r>
    </w:p>
    <w:p>
      <w:r>
        <w:t>L'annexe 3 de l'OLAA comporte un barème - reconnu conforme à la loi et non exhaustif (ATF 124 V 29 consid. 1b, 209 consid. 4a/bb et 113 V 218 consid. 2a ; arrêt du Tribunal fédéral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132 II 117 consid. 2.2.3, 124 V 209 consid. 4a/cc et 116 V 156 consid. 3a).</w:t>
      </w:r>
    </w:p>
    <w:p>
      <w:r>
        <w:rPr>
          <w:b/>
        </w:rPr>
        <w:t>E. 4.5</w:t>
      </w:r>
    </w:p>
    <w:p>
      <w:r>
        <w:t>En l’espèce, la CNA a accordé au recourant une IPAI de 23.5% sur la base des conclusions du Dr L _________. S’agissant des symptômes au niveau du poignet droit, ce dernier a relevé qu’il fallait s’attendre à ce qu’une arthrodèse soit pratiquée à l’avenir, si bien qu’un taux de 15% devait être retenu conformément à la table 5 du barème d’indemnisation des atteintes à l’intégrité, laquelle prévoyait un tel taux en cas d’arthrodèse radiocarpienne. Concernant le poignet gauche, le Dr L _________ a relevé que les symptômes et les douleurs étaient moindres vis-à-vis du poignet droit, raison pour laquelle il a retenu un taux de 10%. Au vu de l’atteinte aux deux poignets, ce médecin a estimé qu’une pondération était nécessaire et s’est prononcé en faveur d’un taux global de 23.5%. Le recourant se contente quant à lui de déclarer que 10% + 15% font 25%, de sorte qu’une IPAI de 25% doit lui être reconnue. Le recourant ne saurait être suivi dans son argumentation. En effet, il n’a produit aucun document médical qui permettrait de mettre en doute l’appréciation du médecin d’arrondissement et se contente simplement d’affirmer avoir droit à une IPAI de 25%. Or, comme cela a été rappelé ci-avant (cf. supra consid. 4.3), il revient à un spécialiste en médecine de se prononcer sur le taux de l’IPAI, si bien que son seul avis ne saurait suffire. Le Dr L _________, spécialiste FMH en chirurgie orthopédique et traumatologie de l’appareil locomoteur, est au contraire compétent pour déterminer le taux de l’IPAI et était parfaitement légitimé, en application de l’article 36 alinéa 3 OLAA, à pondérer les taux retenus pour chaque poignet, soit respectivement 10% et 15%, afin de fixer une</w:t>
      </w:r>
    </w:p>
    <w:p>
      <w:r>
        <w:t>- 19 - indemnité de 23.5% d’après l’ensemble du dommage. Au vu de l’appréciation claire et motivée du Dr L _________ et en l’absence d’avis médical contraire, le taux global de 23.5% doit ainsi être confirmé.</w:t>
      </w:r>
    </w:p>
    <w:p>
      <w:r>
        <w:rPr>
          <w:b/>
        </w:rPr>
        <w:t>E. 5.1</w:t>
      </w:r>
    </w:p>
    <w:p>
      <w:r>
        <w:t>Dans ces circonstances, le recours du 10 juin 2022, en tous points mal fondé, est rejeté et la décision sur opposition du 10 mai 2022 confirmée.</w:t>
      </w:r>
    </w:p>
    <w:p>
      <w:r>
        <w:rPr>
          <w:b/>
        </w:rPr>
        <w:t>E. 5.2</w:t>
      </w:r>
    </w:p>
    <w:p>
      <w:r>
        <w:t>Il n’est pas perçu de frais (art. 61 let. fbis LPGA), la loi spéciale, en l’occurrence la LAA, ne prévoyant pas le prélèvement de frais. Vu l’issue de la cause, il n’est pas alloué de dépens (art. 61 let. g LPGA a contrario).</w:t>
      </w:r>
    </w:p>
    <w:p>
      <w:r>
        <w:t>Prononce</w:t>
      </w:r>
    </w:p>
    <w:p>
      <w:r>
        <w:t>1. Le recours est rejeté. 2. Il n'est pas perçu de frais, ni alloué de dépens. Sion, le 31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